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89"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5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182880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54"/>
          </w:cols>
          <w:pgMar w:left="346" w:top="144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74"/>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52" w:lineRule="exact"/>
        <w:rPr>
          <w:sz w:val="24"/>
          <w:szCs w:val="24"/>
          <w:color w:val="auto"/>
        </w:rPr>
      </w:pPr>
    </w:p>
    <w:p>
      <w:pPr>
        <w:sectPr>
          <w:pgSz w:w="11900" w:h="16838" w:orient="portrait"/>
          <w:cols w:equalWidth="0" w:num="3">
            <w:col w:w="4474" w:space="720"/>
            <w:col w:w="2980" w:space="720"/>
            <w:col w:w="2160"/>
          </w:cols>
          <w:pgMar w:left="346" w:top="1440" w:right="499" w:bottom="1440" w:gutter="0" w:footer="0" w:header="0"/>
          <w:type w:val="continuous"/>
        </w:sectPr>
      </w:pPr>
    </w:p>
    <w:p>
      <w:pPr>
        <w:ind w:left="174"/>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9" w:lineRule="exact"/>
        <w:rPr>
          <w:sz w:val="24"/>
          <w:szCs w:val="24"/>
          <w:color w:val="auto"/>
        </w:rPr>
      </w:pPr>
    </w:p>
    <w:p>
      <w:pPr>
        <w:sectPr>
          <w:pgSz w:w="11900" w:h="16838" w:orient="portrait"/>
          <w:cols w:equalWidth="0" w:num="3">
            <w:col w:w="3874" w:space="720"/>
            <w:col w:w="2740" w:space="720"/>
            <w:col w:w="3000"/>
          </w:cols>
          <w:pgMar w:left="346" w:top="1440" w:right="499" w:bottom="1440" w:gutter="0" w:footer="0" w:header="0"/>
          <w:type w:val="continuous"/>
        </w:sectPr>
      </w:pPr>
    </w:p>
    <w:p>
      <w:pPr>
        <w:ind w:left="1354"/>
        <w:spacing w:after="0"/>
        <w:rPr>
          <w:sz w:val="20"/>
          <w:szCs w:val="20"/>
          <w:color w:val="auto"/>
        </w:rPr>
      </w:pPr>
      <w:r>
        <w:rPr>
          <w:rFonts w:ascii="Times New Roman" w:cs="Times New Roman" w:eastAsia="Times New Roman" w:hAnsi="Times New Roman"/>
          <w:sz w:val="17"/>
          <w:szCs w:val="17"/>
          <w:i w:val="1"/>
          <w:iCs w:val="1"/>
          <w:color w:val="auto"/>
        </w:rPr>
        <w:t>organization)</w:t>
      </w:r>
    </w:p>
    <w:p>
      <w:pPr>
        <w:sectPr>
          <w:pgSz w:w="11900" w:h="16838" w:orient="portrait"/>
          <w:cols w:equalWidth="0" w:num="1">
            <w:col w:w="11054"/>
          </w:cols>
          <w:pgMar w:left="346" w:top="1440" w:right="499" w:bottom="1440" w:gutter="0" w:footer="0" w:header="0"/>
          <w:type w:val="continuous"/>
        </w:sectPr>
      </w:pPr>
    </w:p>
    <w:p>
      <w:pPr>
        <w:spacing w:after="0" w:line="295" w:lineRule="exact"/>
        <w:rPr>
          <w:sz w:val="24"/>
          <w:szCs w:val="24"/>
          <w:color w:val="auto"/>
        </w:rPr>
      </w:pPr>
    </w:p>
    <w:p>
      <w:pPr>
        <w:ind w:left="2754"/>
        <w:spacing w:after="0"/>
        <w:rPr>
          <w:sz w:val="20"/>
          <w:szCs w:val="20"/>
          <w:color w:val="auto"/>
        </w:rPr>
      </w:pPr>
      <w:r>
        <w:rPr>
          <w:rFonts w:ascii="Times New Roman" w:cs="Times New Roman" w:eastAsia="Times New Roman" w:hAnsi="Times New Roman"/>
          <w:sz w:val="18"/>
          <w:szCs w:val="18"/>
          <w:b w:val="1"/>
          <w:bCs w:val="1"/>
          <w:color w:val="auto"/>
        </w:rPr>
        <w:t>29 Business Park Drive, Branford, Connecticut</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06405</w:t>
      </w:r>
    </w:p>
    <w:p>
      <w:pPr>
        <w:spacing w:after="0" w:line="63" w:lineRule="exact"/>
        <w:rPr>
          <w:sz w:val="24"/>
          <w:szCs w:val="24"/>
          <w:color w:val="auto"/>
        </w:rPr>
      </w:pPr>
    </w:p>
    <w:p>
      <w:pPr>
        <w:sectPr>
          <w:pgSz w:w="11900" w:h="16838" w:orient="portrait"/>
          <w:cols w:equalWidth="0" w:num="2">
            <w:col w:w="7374" w:space="720"/>
            <w:col w:w="2960"/>
          </w:cols>
          <w:pgMar w:left="346" w:top="1440" w:right="499" w:bottom="1440" w:gutter="0" w:footer="0" w:header="0"/>
          <w:type w:val="continuous"/>
        </w:sectPr>
      </w:pPr>
    </w:p>
    <w:p>
      <w:pPr>
        <w:ind w:left="3154"/>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194" w:space="720"/>
            <w:col w:w="3140"/>
          </w:cols>
          <w:pgMar w:left="346" w:top="1440" w:right="499" w:bottom="1440" w:gutter="0" w:footer="0" w:header="0"/>
          <w:type w:val="continuous"/>
        </w:sectPr>
      </w:pPr>
    </w:p>
    <w:p>
      <w:pPr>
        <w:spacing w:after="0" w:line="102"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Jeffry Keyes (866) 688-7374</w:t>
      </w:r>
    </w:p>
    <w:p>
      <w:pPr>
        <w:spacing w:after="0" w:line="20"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i w:val="1"/>
          <w:iCs w:val="1"/>
          <w:color w:val="auto"/>
        </w:rPr>
        <w:t>(Name and telephone number, including area code, of the person to contact in connection with this report.)</w:t>
      </w:r>
    </w:p>
    <w:p>
      <w:pPr>
        <w:spacing w:after="0" w:line="219" w:lineRule="exact"/>
        <w:rPr>
          <w:sz w:val="24"/>
          <w:szCs w:val="24"/>
          <w:color w:val="auto"/>
        </w:rPr>
      </w:pPr>
    </w:p>
    <w:p>
      <w:pPr>
        <w:ind w:left="314"/>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414" w:hanging="414"/>
        <w:spacing w:after="0"/>
        <w:tabs>
          <w:tab w:leader="none" w:pos="41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240030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266065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54"/>
          </w:cols>
          <w:pgMar w:left="346" w:top="1440" w:right="49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5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13p-1 (the “Rule”) of the Securities Exchange Act of 1934, as amended, Quantum-Si Incorporated (the “Company”) hereby files this Specialized Disclosure Report on Form SD.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life sciences company focused on proteomics research, with the mission of transforming single-molecule analysis and democratizing its use by providing researchers and clinicians access to the proteome, the set of proteins expressed within a cell through single-molecule protein sequencing.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platform includes the Platinum® line of instruments, Platinum Analysis Software and consumable kits for use with the Platinum line of instruments.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obtains (i) materials from suppliers for manufacturing purposes and (ii) finished products from contract manufacturing organizations (“CMOs”) for sales and distribution by the Company. Pursuant to the Rule, the Company conducted, in good faith, a technical review of its products and surveyed its suppliers and CMOs for the calendar year 2025 to determine whether any Conflict Minerals were present in its products. For the calendar year 2025, the Company determined a Conflict Mineral, gold, was necessary to the functionality or production of certain products, including its Platinum line of instruments. The Company did not treat products or offerings that do not contain necessary Conflict Minerals as in-scope for purposes of Rule 13p-1.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conducted, in good faith, a reasonable country of origin inquiry (“RCOI”) that it believes was reasonably designed to determine whether any Conflict Mineral necessary to the functionality or production of these materials or products originated in the Democratic Republic of the Congo or an adjoining country (the “Covered Countries”) or was not from recycled or scrap sources. The Company does not directly source any Conflict Mineral from mines, smelters or refiners. For any materials or products containing Conflict Minerals, the Company requested information from the applicable suppliers and CMOs regarding the source of such Conflict Mineral. The suppliers surveyed were asked to complete and return the Responsible Minerals Initiative’s (“RMI”) Conflict Minerals Reporting Template (“CMRT”) version 6.4. Communications sent to the suppliers included the CMRT, as well as access to educational material on conflict minerals and assistance on how to complete the reporting template. The Company reviewed the responses that it received from its suppliers and followed up by email and/or telephone with those suppliers who did not respond to the Company’s requests for information.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RCOI conducted and the information received from suppliers and CMOs, the Company has no reason to believe that any necessary Conflict Minerals contained in its in-scope 2025 products may have originated in the Covered Countries and may not have come from recycled or scrap sources. Accordingly, the Company is not required to conduct further due diligence or file a Conflict Minerals Report for the reporting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the Rule, the Company has filed disclosures under paragraphs (a) and (b) of Item 1.01 of Form SD. In addition, the disclosure contained in this Form SD is available at: </w:t>
      </w:r>
      <w:r>
        <w:rPr>
          <w:rFonts w:ascii="Times New Roman" w:cs="Times New Roman" w:eastAsia="Times New Roman" w:hAnsi="Times New Roman"/>
          <w:sz w:val="18"/>
          <w:szCs w:val="18"/>
          <w:u w:val="single" w:color="auto"/>
          <w:color w:val="auto"/>
        </w:rPr>
        <w:t>www.quantum-si.com</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04"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ectPr>
          <w:pgSz w:w="11900" w:h="16838" w:orient="portrait"/>
          <w:cols w:equalWidth="0" w:num="1">
            <w:col w:w="11240"/>
          </w:cols>
          <w:pgMar w:left="320" w:top="1440" w:right="339" w:bottom="1440" w:gutter="0" w:footer="0" w:header="0"/>
        </w:sectPr>
      </w:pPr>
    </w:p>
    <w:bookmarkStart w:id="2" w:name="page3"/>
    <w:bookmarkEnd w:id="2"/>
    <w:p>
      <w:pPr>
        <w:spacing w:after="0" w:line="12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139"/>
          </w:cols>
          <w:pgMar w:left="320" w:top="1440" w:right="1440" w:bottom="1440" w:gutter="0" w:footer="0" w:header="0"/>
        </w:sectPr>
      </w:pPr>
    </w:p>
    <w:bookmarkStart w:id="3" w:name="page4"/>
    <w:bookmarkEnd w:id="3"/>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duly authorized undersigned.</w:t>
      </w: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08" w:lineRule="exact"/>
        <w:rPr>
          <w:sz w:val="20"/>
          <w:szCs w:val="20"/>
          <w:color w:val="auto"/>
        </w:rPr>
      </w:pPr>
    </w:p>
    <w:tbl>
      <w:tblPr>
        <w:tblLayout w:type="fixed"/>
        <w:tblInd w:w="5580" w:type="dxa"/>
        <w:tblCellMar>
          <w:top w:w="0" w:type="dxa"/>
          <w:left w:w="0" w:type="dxa"/>
          <w:bottom w:w="0" w:type="dxa"/>
          <w:right w:w="0" w:type="dxa"/>
        </w:tblCellMar>
      </w:tblP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r>
      <w:tr>
        <w:trPr>
          <w:trHeight w:val="25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22, 2026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2026-05-22T15:21:22Z</dcterms:created>
  <dcterms:modified xsi:type="dcterms:W3CDTF">2026-05-22T15:21:22Z</dcterms:modified>
</cp:coreProperties>
</file>